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градостроительной деятельности и развития агломераций Нижегородской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20.0</w:t>
      </w:r>
      <w:r>
        <w:rPr>
          <w:rFonts w:ascii="Times New Roman" w:hAnsi="Times New Roman"/>
          <w:sz w:val="28"/>
          <w:szCs w:val="28"/>
        </w:rPr>
        <w:t xml:space="preserve">3.2024 № 0</w:t>
      </w:r>
      <w:r>
        <w:rPr>
          <w:rFonts w:ascii="Times New Roman" w:hAnsi="Times New Roman"/>
          <w:sz w:val="28"/>
          <w:szCs w:val="28"/>
        </w:rPr>
        <w:t xml:space="preserve">7-0</w:t>
      </w:r>
      <w:r>
        <w:rPr>
          <w:rFonts w:ascii="Times New Roman" w:hAnsi="Times New Roman"/>
          <w:sz w:val="28"/>
          <w:szCs w:val="28"/>
        </w:rPr>
        <w:t xml:space="preserve">1-06/</w:t>
      </w:r>
      <w:r>
        <w:rPr>
          <w:rFonts w:ascii="Times New Roman" w:hAnsi="Times New Roman"/>
          <w:sz w:val="28"/>
          <w:szCs w:val="28"/>
        </w:rPr>
        <w:t xml:space="preserve">08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line="57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Об утверждении изменений в генеральный план города Нижнего Новгорода, утвержденный постановлением городской Думы города Нижнего Новгорода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от 17 марта 2010 г. № 22</w:t>
      </w:r>
      <w:r/>
      <w:r/>
    </w:p>
    <w:p>
      <w:pPr>
        <w:ind w:left="0" w:right="0" w:firstLine="0"/>
        <w:jc w:val="center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726"/>
        <w:jc w:val="both"/>
        <w:spacing w:after="0" w:line="85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</w:r>
    </w:p>
    <w:p>
      <w:pPr>
        <w:ind w:left="0" w:right="0" w:firstLine="726"/>
        <w:jc w:val="both"/>
        <w:spacing w:after="0" w:line="85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соответствии со статьями 8</w:t>
      </w:r>
      <w:r>
        <w:rPr>
          <w:rFonts w:ascii="Times New Roman" w:hAnsi="Times New Roman" w:eastAsia="Times New Roman" w:cs="Times New Roman"/>
          <w:color w:val="000000"/>
          <w:sz w:val="23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24 Градостроительного кодекса Российской Федерации, статьей 2</w:t>
      </w:r>
      <w:r>
        <w:rPr>
          <w:rFonts w:ascii="Times New Roman" w:hAnsi="Times New Roman" w:eastAsia="Times New Roman" w:cs="Times New Roman"/>
          <w:color w:val="000000"/>
          <w:sz w:val="23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Закона Нижегородской области от 23 декабря 2014 г. № 197-З «О перераспределении отдельных полномочий между органами местного самоуправления муниципальных образований Нижегородской области и органами государственной власти Нижегородской области», пунктом 3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.1.10 Положения о министерстве градостроительной деятельности и развития агломераций Нижегородской области, утвержденного постановлением Правительства Нижегородской области от 16 апреля 2020 г. № 308, приказом министерства градостроительной деятельности 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развития агломераций Нижегородской области от 16 января 2024 г. № 07-01-01/02 «О подготовке предложений о внесении изменений в генеральный план города Нижнего Новгорода», на основании протокола общественных обсуждений от 5 февраля 2024 г., заключения о рез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ультатах общественных обсуждений от 5 февраля 2024 г., протокола заседания комиссии по подготовке проектов правил землепользования и застройки Нижегородской области и иным вопросам землепользования и застройки Нижегородской области от 4 марта 2024 г. № 124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/2</w:t>
      </w:r>
      <w:r/>
      <w:r/>
    </w:p>
    <w:p>
      <w:pPr>
        <w:ind w:left="0" w:right="0" w:firstLine="0"/>
        <w:jc w:val="both"/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 р и к а з ы в а ю:</w:t>
      </w:r>
      <w:r/>
    </w:p>
    <w:p>
      <w:pPr>
        <w:ind w:left="0" w:right="0" w:firstLine="720"/>
        <w:jc w:val="both"/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1. Утвердить прилагаемые изменения в генеральный план города Нижнего Новгорода, утвержденный постановлением городской Думы города Нижнего Новгорода от 17 марта 2010 г. № 22 (далее – генеральный план города Нижнего Новгорода), предусматривающие изменение на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картах «Сводная схема функционально-планировочной организации г. Нижнего Новгорода (основной чертеж)», «Схема границ функциональных зон территории г. Нижнего Новгорода с параметрами планируемого развития и границами участков для размещения объектов капита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льного строительства федерального, регионального и местного значения», «Схема границ функциональных зон. Автозаводский район» (частично) зоны С-5 (зона озеленения специального назначения в СЗЗ и т.п.), зоны ПК-4 (зона производственно-коммунальных объектов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V класса вредности) на зону Р-2 (зона рекреационно-ландшафтных территорий со средними нагрузками) вдоль Южного обхода между р. Гниличка и ул. Первомайская в Автозаводском районе города Нижнего Новгорода.</w:t>
      </w:r>
      <w:r/>
    </w:p>
    <w:p>
      <w:pPr>
        <w:ind w:left="0" w:right="0" w:firstLine="726"/>
        <w:jc w:val="both"/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 Министерству градостроительной деятельности и развития агломераций Нижегородской области:</w:t>
      </w:r>
      <w:r/>
    </w:p>
    <w:p>
      <w:pPr>
        <w:ind w:left="0" w:right="0" w:firstLine="726"/>
        <w:jc w:val="both"/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2.1. В течение семи дней направить настоящий приказ главе города Нижнего Новгорода.</w:t>
      </w:r>
      <w:r/>
    </w:p>
    <w:p>
      <w:pPr>
        <w:ind w:left="0" w:right="0" w:firstLine="726"/>
        <w:jc w:val="both"/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2.2. Разместить настоящий приказ на официальном сайте министерства градостроительной деятельности и развития агломераций Нижегородской области в информационно-телекоммуникационной сети «Интернет».</w:t>
      </w:r>
      <w:r/>
    </w:p>
    <w:p>
      <w:pPr>
        <w:ind w:left="0" w:right="0" w:firstLine="726"/>
        <w:jc w:val="both"/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2.3. Обеспечить размещение изменений в генеральный план города Нижнего Новгорода, утвержденных настоящим приказом, в Федеральной государственной информационной системе территориального планирования в соответствии с требованиями статьи 57</w:t>
      </w:r>
      <w:r>
        <w:rPr>
          <w:rFonts w:ascii="Times New Roman" w:hAnsi="Times New Roman" w:eastAsia="Times New Roman" w:cs="Times New Roman"/>
          <w:color w:val="000000"/>
          <w:sz w:val="23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Градостроительного кодекса Российской Федерации.</w:t>
      </w:r>
      <w:r/>
    </w:p>
    <w:p>
      <w:pPr>
        <w:ind w:left="0" w:right="0" w:firstLine="726"/>
        <w:jc w:val="both"/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3. Рекомендовать администрации города Нижнего Новгорода:</w:t>
      </w:r>
      <w:r/>
    </w:p>
    <w:p>
      <w:pPr>
        <w:ind w:left="0" w:right="0" w:firstLine="726"/>
        <w:jc w:val="both"/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3.1. Обеспечить опубликование изменений в генеральный план города Нижнего Новгорода, утверждённых настоящим приказом, в порядке, установленном для официального опубликования муниципальных правовых актов, иной официальной информации. </w:t>
      </w:r>
      <w:r/>
    </w:p>
    <w:p>
      <w:pPr>
        <w:ind w:left="0" w:right="0" w:firstLine="726"/>
        <w:jc w:val="both"/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3.2. Обеспечить размещение изменений в генеральный план города Нижнего Новгорода, утверждённых настоящим приказом, на официальном сайте администрации города Нижнего Новгорода в информационно-телекоммуникационной сети «Интернет».</w:t>
      </w:r>
      <w:r/>
    </w:p>
    <w:p>
      <w:pPr>
        <w:ind w:left="0" w:right="0" w:firstLine="726"/>
        <w:jc w:val="both"/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4. Настоящий приказ вступает в силу после дня его официального опубликования.</w:t>
      </w:r>
      <w:r/>
    </w:p>
    <w:p>
      <w:pPr>
        <w:ind w:left="0" w:right="0" w:firstLine="709"/>
        <w:jc w:val="both"/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709"/>
        <w:jc w:val="both"/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709"/>
        <w:jc w:val="both"/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both"/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Министр </w:t>
        <w:tab/>
        <w:tab/>
        <w:tab/>
        <w:tab/>
        <w:tab/>
        <w:tab/>
        <w:tab/>
        <w:tab/>
        <w:tab/>
        <w:tab/>
        <w:t xml:space="preserve">М.В. Ракова</w:t>
      </w:r>
      <w:r/>
    </w:p>
    <w:p>
      <w:pPr>
        <w:ind w:left="0" w:right="0" w:firstLine="0"/>
        <w:jc w:val="center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</w:p>
    <w:p>
      <w:pPr>
        <w:ind w:firstLine="5245"/>
        <w:jc w:val="center"/>
        <w:outlineLvl w:val="0"/>
      </w:pPr>
      <w:r/>
      <w:r/>
    </w:p>
    <w:p>
      <w:pPr>
        <w:ind w:firstLine="5245"/>
        <w:jc w:val="center"/>
        <w:outlineLvl w:val="0"/>
      </w:pPr>
      <w:r/>
      <w:r/>
    </w:p>
    <w:p>
      <w:pPr>
        <w:ind w:firstLine="5245"/>
        <w:jc w:val="center"/>
        <w:outlineLvl w:val="0"/>
      </w:pPr>
      <w:r/>
      <w:r/>
    </w:p>
    <w:p>
      <w:pPr>
        <w:ind w:firstLine="5245"/>
        <w:jc w:val="center"/>
        <w:outlineLvl w:val="0"/>
      </w:pPr>
      <w:r/>
      <w:r/>
    </w:p>
    <w:p>
      <w:pPr>
        <w:ind w:firstLine="5245"/>
        <w:jc w:val="center"/>
        <w:outlineLvl w:val="0"/>
      </w:pPr>
      <w:r/>
      <w:r/>
    </w:p>
    <w:p>
      <w:pPr>
        <w:ind w:firstLine="5245"/>
        <w:jc w:val="center"/>
        <w:outlineLvl w:val="0"/>
      </w:pPr>
      <w:r/>
      <w:r/>
    </w:p>
    <w:p>
      <w:pPr>
        <w:ind w:firstLine="5245"/>
        <w:jc w:val="center"/>
        <w:outlineLvl w:val="0"/>
      </w:pPr>
      <w:r/>
      <w:r/>
    </w:p>
    <w:p>
      <w:pPr>
        <w:ind w:firstLine="5245"/>
        <w:jc w:val="center"/>
        <w:outlineLvl w:val="0"/>
      </w:pPr>
      <w:r/>
      <w:r/>
    </w:p>
    <w:p>
      <w:pPr>
        <w:ind w:firstLine="5245"/>
        <w:jc w:val="center"/>
        <w:outlineLvl w:val="0"/>
      </w:pPr>
      <w:r/>
      <w:r/>
    </w:p>
    <w:p>
      <w:pPr>
        <w:ind w:firstLine="5245"/>
        <w:jc w:val="center"/>
        <w:outlineLvl w:val="0"/>
      </w:pPr>
      <w:r/>
      <w:r/>
    </w:p>
    <w:p>
      <w:pPr>
        <w:ind w:firstLine="5245"/>
        <w:jc w:val="center"/>
        <w:outlineLvl w:val="0"/>
      </w:pPr>
      <w:r/>
      <w:r/>
    </w:p>
    <w:p>
      <w:pPr>
        <w:ind w:firstLine="5245"/>
        <w:jc w:val="center"/>
        <w:outlineLvl w:val="0"/>
      </w:pPr>
      <w:r/>
      <w:r/>
    </w:p>
    <w:p>
      <w:pPr>
        <w:ind w:firstLine="5245"/>
        <w:jc w:val="center"/>
        <w:outlineLvl w:val="0"/>
      </w:pPr>
      <w:r/>
      <w:r/>
    </w:p>
    <w:p>
      <w:pPr>
        <w:ind w:firstLine="5245"/>
        <w:jc w:val="center"/>
        <w:outlineLvl w:val="0"/>
      </w:pPr>
      <w:r/>
      <w:r/>
    </w:p>
    <w:p>
      <w:pPr>
        <w:ind w:firstLine="5245"/>
        <w:jc w:val="center"/>
        <w:outlineLvl w:val="0"/>
      </w:pPr>
      <w:r/>
      <w:r/>
    </w:p>
    <w:p>
      <w:pPr>
        <w:ind w:firstLine="5245"/>
        <w:jc w:val="center"/>
        <w:outlineLvl w:val="0"/>
      </w:pPr>
      <w:r/>
      <w:r/>
    </w:p>
    <w:p>
      <w:pPr>
        <w:ind w:firstLine="5245"/>
        <w:jc w:val="center"/>
        <w:outlineLvl w:val="0"/>
      </w:pPr>
      <w:r/>
      <w:r/>
    </w:p>
    <w:p>
      <w:pPr>
        <w:ind w:firstLine="5245"/>
        <w:jc w:val="center"/>
        <w:outlineLvl w:val="0"/>
      </w:pPr>
      <w:r/>
      <w:r/>
    </w:p>
    <w:p>
      <w:pPr>
        <w:ind w:firstLine="5245"/>
        <w:jc w:val="center"/>
        <w:outlineLvl w:val="0"/>
      </w:pPr>
      <w:r/>
      <w:r/>
    </w:p>
    <w:p>
      <w:pPr>
        <w:ind w:firstLine="5245"/>
        <w:jc w:val="center"/>
        <w:outlineLvl w:val="0"/>
      </w:pPr>
      <w:r/>
      <w:r/>
    </w:p>
    <w:p>
      <w:pPr>
        <w:ind w:firstLine="5245"/>
        <w:jc w:val="center"/>
        <w:outlineLvl w:val="0"/>
      </w:pPr>
      <w:r/>
      <w:r/>
    </w:p>
    <w:p>
      <w:pPr>
        <w:ind w:firstLine="5245"/>
        <w:jc w:val="center"/>
        <w:outlineLvl w:val="0"/>
      </w:pPr>
      <w:r/>
      <w:r/>
    </w:p>
    <w:p>
      <w:pPr>
        <w:ind w:firstLine="5245"/>
        <w:jc w:val="center"/>
        <w:outlineLvl w:val="0"/>
      </w:pPr>
      <w:r/>
      <w:r/>
      <w:r/>
    </w:p>
    <w:p>
      <w:pPr>
        <w:ind w:firstLine="5245"/>
        <w:jc w:val="center"/>
        <w:rPr>
          <w:szCs w:val="28"/>
        </w:rPr>
        <w:outlineLvl w:val="0"/>
      </w:pPr>
      <w:r>
        <w:rPr>
          <w:szCs w:val="28"/>
        </w:rPr>
        <w:t xml:space="preserve">Приложение</w:t>
      </w:r>
      <w:r>
        <w:rPr>
          <w:szCs w:val="28"/>
        </w:rPr>
      </w:r>
    </w:p>
    <w:p>
      <w:pPr>
        <w:ind w:firstLine="5245"/>
        <w:jc w:val="center"/>
        <w:rPr>
          <w:szCs w:val="28"/>
        </w:rPr>
      </w:pPr>
      <w:r>
        <w:rPr>
          <w:szCs w:val="28"/>
        </w:rPr>
        <w:t xml:space="preserve">к п</w:t>
      </w:r>
      <w:r>
        <w:rPr>
          <w:szCs w:val="28"/>
        </w:rPr>
        <w:t xml:space="preserve">риказ</w:t>
      </w:r>
      <w:r>
        <w:rPr>
          <w:szCs w:val="28"/>
        </w:rPr>
        <w:t xml:space="preserve">у министерства</w:t>
      </w:r>
      <w:r>
        <w:rPr>
          <w:szCs w:val="28"/>
        </w:rPr>
      </w:r>
    </w:p>
    <w:p>
      <w:pPr>
        <w:ind w:firstLine="5245"/>
        <w:jc w:val="center"/>
        <w:rPr>
          <w:szCs w:val="28"/>
        </w:rPr>
      </w:pPr>
      <w:r>
        <w:rPr>
          <w:szCs w:val="28"/>
        </w:rPr>
        <w:t xml:space="preserve">градостроительной деятельности</w:t>
      </w:r>
      <w:r>
        <w:rPr>
          <w:szCs w:val="28"/>
        </w:rPr>
      </w:r>
    </w:p>
    <w:p>
      <w:pPr>
        <w:ind w:firstLine="5245"/>
        <w:jc w:val="center"/>
        <w:rPr>
          <w:szCs w:val="28"/>
        </w:rPr>
      </w:pPr>
      <w:r>
        <w:rPr>
          <w:szCs w:val="28"/>
        </w:rPr>
        <w:t xml:space="preserve">и развития агломераций</w:t>
      </w:r>
      <w:r>
        <w:rPr>
          <w:szCs w:val="28"/>
        </w:rPr>
      </w:r>
    </w:p>
    <w:p>
      <w:pPr>
        <w:ind w:firstLine="5245"/>
        <w:jc w:val="center"/>
        <w:rPr>
          <w:szCs w:val="28"/>
        </w:rPr>
      </w:pPr>
      <w:r>
        <w:rPr>
          <w:szCs w:val="28"/>
        </w:rPr>
        <w:t xml:space="preserve">Нижегородской области</w:t>
      </w:r>
      <w:r>
        <w:rPr>
          <w:szCs w:val="28"/>
        </w:rPr>
      </w:r>
    </w:p>
    <w:p>
      <w:pPr>
        <w:ind w:firstLine="5245"/>
        <w:jc w:val="center"/>
        <w:rPr>
          <w:szCs w:val="28"/>
        </w:rPr>
      </w:pPr>
      <w:r>
        <w:rPr>
          <w:szCs w:val="28"/>
        </w:rPr>
        <w:t xml:space="preserve">о</w:t>
      </w:r>
      <w:r>
        <w:rPr>
          <w:szCs w:val="28"/>
        </w:rPr>
        <w:t xml:space="preserve">т</w:t>
      </w:r>
      <w:r>
        <w:rPr>
          <w:szCs w:val="28"/>
        </w:rPr>
        <w:t xml:space="preserve"> 20.03.202</w:t>
      </w:r>
      <w:r>
        <w:rPr>
          <w:szCs w:val="28"/>
        </w:rPr>
        <w:t xml:space="preserve">4</w:t>
      </w:r>
      <w:r>
        <w:rPr>
          <w:szCs w:val="28"/>
        </w:rPr>
        <w:t xml:space="preserve"> </w:t>
      </w:r>
      <w:r>
        <w:rPr>
          <w:szCs w:val="28"/>
        </w:rPr>
        <w:t xml:space="preserve">г. №</w:t>
      </w:r>
      <w:r>
        <w:rPr>
          <w:szCs w:val="28"/>
        </w:rPr>
        <w:t xml:space="preserve"> 07-01-06/</w:t>
      </w:r>
      <w:r>
        <w:rPr>
          <w:szCs w:val="28"/>
        </w:rPr>
        <w:t xml:space="preserve">08</w:t>
      </w:r>
      <w:r>
        <w:rPr>
          <w:szCs w:val="28"/>
        </w:rPr>
      </w:r>
    </w:p>
    <w:p>
      <w:pPr>
        <w:pStyle w:val="687"/>
        <w:spacing w:line="240" w:lineRule="auto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</w:r>
      <w:r>
        <w:rPr>
          <w:b/>
          <w:bCs/>
          <w:color w:val="ff0000"/>
          <w:szCs w:val="28"/>
        </w:rPr>
      </w:r>
    </w:p>
    <w:p>
      <w:pPr>
        <w:pStyle w:val="687"/>
        <w:spacing w:line="240" w:lineRule="auto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</w:r>
      <w:r>
        <w:rPr>
          <w:b/>
          <w:bCs/>
          <w:color w:val="ff0000"/>
          <w:szCs w:val="28"/>
        </w:rPr>
      </w:r>
    </w:p>
    <w:p>
      <w:pPr>
        <w:pStyle w:val="687"/>
        <w:jc w:val="center"/>
        <w:spacing w:line="276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ИЗМЕНЕНИЯ</w:t>
      </w:r>
      <w:r>
        <w:rPr>
          <w:b/>
          <w:bCs/>
          <w:szCs w:val="28"/>
        </w:rPr>
      </w:r>
    </w:p>
    <w:p>
      <w:pPr>
        <w:pStyle w:val="687"/>
        <w:jc w:val="center"/>
        <w:spacing w:line="276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в </w:t>
      </w:r>
      <w:r>
        <w:rPr>
          <w:b/>
          <w:bCs/>
          <w:szCs w:val="28"/>
        </w:rPr>
        <w:t xml:space="preserve">генеральный план города Нижнего Новгорода, </w:t>
      </w:r>
      <w:r>
        <w:rPr>
          <w:b/>
          <w:bCs/>
          <w:szCs w:val="28"/>
        </w:rPr>
        <w:t xml:space="preserve">утвержденный постановлением городской Думы города Нижнего Новгорода от 17 марта 2010 г. № 22</w:t>
      </w:r>
      <w:r>
        <w:rPr>
          <w:b/>
          <w:bCs/>
          <w:szCs w:val="28"/>
        </w:rPr>
      </w:r>
    </w:p>
    <w:p>
      <w:pPr>
        <w:pStyle w:val="687"/>
        <w:jc w:val="center"/>
        <w:spacing w:line="276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720"/>
        <w:jc w:val="both"/>
        <w:spacing w:line="276" w:lineRule="auto"/>
        <w:rPr>
          <w:szCs w:val="28"/>
        </w:rPr>
      </w:pPr>
      <w:r>
        <w:rPr>
          <w:szCs w:val="28"/>
        </w:rPr>
        <w:t xml:space="preserve">На картах «Сводная схема функционально-планировочной организации </w:t>
      </w:r>
      <w:r>
        <w:rPr>
          <w:szCs w:val="28"/>
        </w:rPr>
        <w:br/>
        <w:t xml:space="preserve">г. Нижнего Новгорода (основной чертеж)», «</w:t>
      </w:r>
      <w:r>
        <w:rPr>
          <w:szCs w:val="28"/>
        </w:rPr>
        <w:t xml:space="preserve">Схема границ функциональных зон территории г. Нижнего Новгорода с параметрами планируемого развития и границами участков для размещения объектов капитального строительства федерального, регионального и местного значения», «Схема границ функциональных зон. </w:t>
      </w:r>
      <w:r>
        <w:rPr>
          <w:szCs w:val="28"/>
        </w:rPr>
        <w:t xml:space="preserve">Автозаводский</w:t>
      </w:r>
      <w:r>
        <w:rPr>
          <w:szCs w:val="28"/>
        </w:rPr>
        <w:t xml:space="preserve"> район»</w:t>
      </w:r>
      <w:r>
        <w:rPr>
          <w:szCs w:val="28"/>
        </w:rPr>
        <w:t xml:space="preserve"> </w:t>
      </w:r>
      <w:r>
        <w:rPr>
          <w:szCs w:val="28"/>
        </w:rPr>
        <w:t xml:space="preserve">изменить </w:t>
      </w:r>
      <w:r>
        <w:rPr>
          <w:szCs w:val="28"/>
        </w:rPr>
        <w:t xml:space="preserve">(частично) зон</w:t>
      </w:r>
      <w:r>
        <w:rPr>
          <w:szCs w:val="28"/>
        </w:rPr>
        <w:t xml:space="preserve">у</w:t>
      </w:r>
      <w:r>
        <w:rPr>
          <w:szCs w:val="28"/>
        </w:rPr>
        <w:t xml:space="preserve"> С-5 (зона озеленения специального назначения в СЗЗ и т.п.), зон</w:t>
      </w:r>
      <w:r>
        <w:rPr>
          <w:szCs w:val="28"/>
        </w:rPr>
        <w:t xml:space="preserve">у</w:t>
      </w:r>
      <w:r>
        <w:rPr>
          <w:szCs w:val="28"/>
        </w:rPr>
        <w:t xml:space="preserve"> ПК-4 (зона производственно-коммунальных объектов V класса вредности) на зону Р-2 (зона рекреационно-ландшафтных территорий со средними нагрузками) вдоль Южного обхода между р. Гниличка и ул. Первомайская в Автозаводском районе</w:t>
      </w:r>
      <w:r>
        <w:rPr>
          <w:szCs w:val="28"/>
        </w:rPr>
        <w:t xml:space="preserve">,</w:t>
      </w:r>
      <w:r>
        <w:rPr>
          <w:szCs w:val="28"/>
        </w:rPr>
        <w:t xml:space="preserve"> в следующих границах</w:t>
      </w:r>
      <w:r>
        <w:rPr>
          <w:szCs w:val="28"/>
        </w:rPr>
        <w:t xml:space="preserve">:</w:t>
      </w:r>
      <w:r>
        <w:rPr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</w:p>
    <w:p>
      <w:pPr>
        <w:jc w:val="center"/>
        <w:rPr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60304" cy="60102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703350" cy="6055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5.69pt;height:473.2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УСЛОВНЫЕ ОБОЗНАЧЕНИЯ:</w:t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130175</wp:posOffset>
                </wp:positionV>
                <wp:extent cx="541020" cy="316865"/>
                <wp:effectExtent l="0" t="0" r="11430" b="26034"/>
                <wp:wrapTight wrapText="bothSides">
                  <wp:wrapPolygon edited="1">
                    <wp:start x="0" y="0"/>
                    <wp:lineTo x="0" y="22076"/>
                    <wp:lineTo x="21296" y="22076"/>
                    <wp:lineTo x="21296" y="0"/>
                    <wp:lineTo x="0" y="0"/>
                  </wp:wrapPolygon>
                </wp:wrapTight>
                <wp:docPr id="2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" cy="316865"/>
                        </a:xfrm>
                        <a:prstGeom prst="rect">
                          <a:avLst/>
                        </a:prstGeom>
                        <a:solidFill>
                          <a:srgbClr val="BCDE8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8240;o:allowoverlap:true;o:allowincell:true;mso-position-horizontal-relative:text;margin-left:18.45pt;mso-position-horizontal:absolute;mso-position-vertical-relative:text;margin-top:10.25pt;mso-position-vertical:absolute;width:42.60pt;height:24.95pt;mso-wrap-distance-left:9.00pt;mso-wrap-distance-top:0.00pt;mso-wrap-distance-right:9.00pt;mso-wrap-distance-bottom:0.00pt;visibility:visible;" wrapcoords="0 0 0 102204 98593 102204 98593 0 0 0" fillcolor="#BCDE86" strokecolor="#0A111D" strokeweight="1.00pt">
                <v:stroke dashstyle="solid"/>
                <w10:wrap type="tight"/>
              </v:shape>
            </w:pict>
          </mc:Fallback>
        </mc:AlternateContent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Р-2 - зона рекреационно-ландшафтных территорий со средними нагрузками</w:t>
      </w:r>
      <w:r>
        <w:rPr>
          <w:sz w:val="22"/>
          <w:szCs w:val="22"/>
        </w:rPr>
      </w:r>
    </w:p>
    <w:p>
      <w:pPr>
        <w:jc w:val="right"/>
        <w:rPr>
          <w:szCs w:val="28"/>
        </w:rPr>
      </w:pPr>
      <w:r>
        <w:rPr>
          <w:szCs w:val="28"/>
        </w:rPr>
        <w:t xml:space="preserve">».</w:t>
      </w:r>
      <w:r>
        <w:rPr>
          <w:szCs w:val="28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</w:t>
      </w:r>
      <w:r>
        <w:rPr>
          <w:sz w:val="22"/>
          <w:szCs w:val="22"/>
        </w:rPr>
        <w:t xml:space="preserve">_______</w:t>
      </w:r>
      <w:r>
        <w:rPr>
          <w:sz w:val="22"/>
          <w:szCs w:val="22"/>
        </w:rPr>
        <w:t xml:space="preserve">_______________</w:t>
      </w:r>
      <w:r>
        <w:rPr>
          <w:sz w:val="22"/>
          <w:szCs w:val="22"/>
        </w:rPr>
      </w:r>
    </w:p>
    <w:sectPr>
      <w:footnotePr/>
      <w:endnotePr/>
      <w:type w:val="nextPage"/>
      <w:pgSz w:w="12240" w:h="15840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  <w:endnote w:type="continuationNotice" w:id="1"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type="continuationNotice" w:id="1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29" w:hanging="360"/>
      </w:pPr>
    </w:lvl>
    <w:lvl w:ilvl="1">
      <w:start w:val="1"/>
      <w:numFmt w:val="decimal"/>
      <w:isLgl/>
      <w:suff w:val="tab"/>
      <w:lvlText w:val="%1.%2."/>
      <w:lvlJc w:val="left"/>
      <w:pPr>
        <w:ind w:left="4478" w:hanging="150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4827" w:hanging="150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5176" w:hanging="150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5525" w:hanging="150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5874" w:hanging="150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6523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6872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7581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49" w:hanging="114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9084" w:hanging="720"/>
      </w:pPr>
      <w:rPr>
        <w:rFonts w:hint="default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7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5"/>
    <w:next w:val="67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5"/>
    <w:next w:val="67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5"/>
    <w:next w:val="67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5"/>
    <w:next w:val="67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5"/>
    <w:next w:val="67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5"/>
    <w:next w:val="67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5"/>
    <w:next w:val="67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5"/>
    <w:next w:val="67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5"/>
    <w:next w:val="67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7"/>
    <w:link w:val="34"/>
    <w:uiPriority w:val="10"/>
    <w:rPr>
      <w:sz w:val="48"/>
      <w:szCs w:val="48"/>
    </w:rPr>
  </w:style>
  <w:style w:type="paragraph" w:styleId="36">
    <w:name w:val="Subtitle"/>
    <w:basedOn w:val="675"/>
    <w:next w:val="67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7"/>
    <w:link w:val="36"/>
    <w:uiPriority w:val="11"/>
    <w:rPr>
      <w:sz w:val="24"/>
      <w:szCs w:val="24"/>
    </w:rPr>
  </w:style>
  <w:style w:type="paragraph" w:styleId="38">
    <w:name w:val="Quote"/>
    <w:basedOn w:val="675"/>
    <w:next w:val="67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5"/>
    <w:next w:val="67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7"/>
    <w:link w:val="692"/>
    <w:uiPriority w:val="99"/>
  </w:style>
  <w:style w:type="character" w:styleId="45">
    <w:name w:val="Footer Char"/>
    <w:basedOn w:val="677"/>
    <w:link w:val="694"/>
    <w:uiPriority w:val="99"/>
  </w:style>
  <w:style w:type="paragraph" w:styleId="46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4"/>
    <w:uiPriority w:val="99"/>
  </w:style>
  <w:style w:type="table" w:styleId="48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7"/>
    <w:uiPriority w:val="99"/>
    <w:unhideWhenUsed/>
    <w:rPr>
      <w:vertAlign w:val="superscript"/>
    </w:rPr>
  </w:style>
  <w:style w:type="paragraph" w:styleId="178">
    <w:name w:val="endnote text"/>
    <w:basedOn w:val="67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7"/>
    <w:uiPriority w:val="99"/>
    <w:semiHidden/>
    <w:unhideWhenUsed/>
    <w:rPr>
      <w:vertAlign w:val="superscript"/>
    </w:rPr>
  </w:style>
  <w:style w:type="paragraph" w:styleId="181">
    <w:name w:val="toc 1"/>
    <w:basedOn w:val="675"/>
    <w:next w:val="67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5"/>
    <w:next w:val="67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5"/>
    <w:next w:val="67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5"/>
    <w:next w:val="67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5"/>
    <w:next w:val="67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5"/>
    <w:next w:val="67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5"/>
    <w:next w:val="67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5"/>
    <w:next w:val="67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5"/>
    <w:next w:val="67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5"/>
    <w:next w:val="675"/>
    <w:uiPriority w:val="99"/>
    <w:unhideWhenUsed/>
    <w:pPr>
      <w:spacing w:after="0" w:afterAutospacing="0"/>
    </w:pPr>
  </w:style>
  <w:style w:type="paragraph" w:styleId="67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paragraph" w:styleId="676">
    <w:name w:val="Heading 1"/>
    <w:basedOn w:val="675"/>
    <w:next w:val="675"/>
    <w:link w:val="691"/>
    <w:uiPriority w:val="9"/>
    <w:qFormat/>
    <w:pPr>
      <w:keepLines/>
      <w:keepNext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>
    <w:name w:val="List Paragraph"/>
    <w:basedOn w:val="675"/>
    <w:uiPriority w:val="34"/>
    <w:qFormat/>
    <w:pPr>
      <w:contextualSpacing/>
      <w:ind w:left="720"/>
    </w:pPr>
  </w:style>
  <w:style w:type="paragraph" w:styleId="681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Calibri" w:cs="Arial"/>
      <w:sz w:val="20"/>
      <w:szCs w:val="20"/>
      <w:lang w:val="ru-RU" w:eastAsia="ru-RU"/>
    </w:rPr>
  </w:style>
  <w:style w:type="paragraph" w:styleId="682">
    <w:name w:val="No Spacing"/>
    <w:qFormat/>
    <w:pPr>
      <w:spacing w:after="0" w:line="240" w:lineRule="auto"/>
    </w:pPr>
    <w:rPr>
      <w:rFonts w:ascii="Calibri" w:hAnsi="Calibri" w:eastAsia="Calibri" w:cs="Times New Roman"/>
      <w:lang w:val="ru-RU"/>
    </w:rPr>
  </w:style>
  <w:style w:type="paragraph" w:styleId="683">
    <w:name w:val="Normal (Web)"/>
    <w:basedOn w:val="675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684" w:customStyle="1">
    <w:name w:val="apple-converted-space"/>
    <w:basedOn w:val="677"/>
    <w:rPr>
      <w:rFonts w:cs="Times New Roman"/>
    </w:rPr>
  </w:style>
  <w:style w:type="paragraph" w:styleId="685">
    <w:name w:val="Balloon Text"/>
    <w:basedOn w:val="675"/>
    <w:link w:val="68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86" w:customStyle="1">
    <w:name w:val="Текст выноски Знак"/>
    <w:basedOn w:val="677"/>
    <w:link w:val="685"/>
    <w:uiPriority w:val="99"/>
    <w:semiHidden/>
    <w:rPr>
      <w:rFonts w:ascii="Segoe UI" w:hAnsi="Segoe UI" w:eastAsia="Times New Roman" w:cs="Segoe UI"/>
      <w:sz w:val="18"/>
      <w:szCs w:val="18"/>
      <w:lang w:val="ru-RU" w:eastAsia="ru-RU"/>
    </w:rPr>
  </w:style>
  <w:style w:type="paragraph" w:styleId="687">
    <w:name w:val="Body Text"/>
    <w:basedOn w:val="675"/>
    <w:link w:val="688"/>
    <w:pPr>
      <w:jc w:val="both"/>
      <w:spacing w:line="360" w:lineRule="auto"/>
    </w:pPr>
  </w:style>
  <w:style w:type="character" w:styleId="688" w:customStyle="1">
    <w:name w:val="Основной текст Знак"/>
    <w:basedOn w:val="677"/>
    <w:link w:val="687"/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89">
    <w:name w:val="Hyperlink"/>
    <w:semiHidden/>
    <w:unhideWhenUsed/>
    <w:rPr>
      <w:color w:val="0000ff"/>
      <w:u w:val="single"/>
    </w:rPr>
  </w:style>
  <w:style w:type="paragraph" w:styleId="690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691" w:customStyle="1">
    <w:name w:val="Заголовок 1 Знак"/>
    <w:basedOn w:val="677"/>
    <w:link w:val="676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ru-RU" w:eastAsia="ru-RU"/>
    </w:rPr>
  </w:style>
  <w:style w:type="paragraph" w:styleId="692">
    <w:name w:val="Header"/>
    <w:basedOn w:val="675"/>
    <w:link w:val="69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3" w:customStyle="1">
    <w:name w:val="Верхний колонтитул Знак"/>
    <w:basedOn w:val="677"/>
    <w:link w:val="692"/>
    <w:uiPriority w:val="99"/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paragraph" w:styleId="694">
    <w:name w:val="Footer"/>
    <w:basedOn w:val="675"/>
    <w:link w:val="69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5" w:customStyle="1">
    <w:name w:val="Нижний колонтитул Знак"/>
    <w:basedOn w:val="677"/>
    <w:link w:val="694"/>
    <w:uiPriority w:val="99"/>
    <w:rPr>
      <w:rFonts w:ascii="Times New Roman" w:hAnsi="Times New Roman" w:eastAsia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32E08-AE00-4862-97CE-38F1B09E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А.И.</dc:creator>
  <cp:revision>20</cp:revision>
  <dcterms:created xsi:type="dcterms:W3CDTF">2023-08-24T11:19:00Z</dcterms:created>
  <dcterms:modified xsi:type="dcterms:W3CDTF">2024-03-28T12:37:59Z</dcterms:modified>
</cp:coreProperties>
</file>